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80"/>
      </w:pPr>
      <w:r>
        <w:rPr>
          <w:rFonts w:ascii="Calibri" w:hAnsi="Calibri"/>
          <w:b/>
          <w:color w:val="547044"/>
          <w:sz w:val="18"/>
        </w:rPr>
        <w:t>PRACTICAL PROCUREMENT TEMPLATE</w:t>
      </w:r>
    </w:p>
    <w:p>
      <w:pPr>
        <w:spacing w:before="0" w:after="160"/>
      </w:pPr>
      <w:r>
        <w:rPr>
          <w:rFonts w:ascii="Calibri" w:hAnsi="Calibri"/>
          <w:b w:val="0"/>
          <w:color w:val="0B1713"/>
          <w:sz w:val="56"/>
        </w:rPr>
        <w:t>Language-accessibility vendor requirements</w:t>
      </w:r>
    </w:p>
    <w:p>
      <w:pPr>
        <w:spacing w:after="360"/>
      </w:pPr>
      <w:r>
        <w:rPr>
          <w:rFonts w:ascii="Calibri" w:hAnsi="Calibri"/>
          <w:color w:val="53655D"/>
          <w:sz w:val="24"/>
        </w:rPr>
        <w:t>An editable evaluation template for Plain Language, Easy Language, human review, CMS and API integration, hosting, security, accessibility, pricing, and service operations.</w:t>
      </w:r>
    </w:p>
    <w:p>
      <w:pPr>
        <w:shd w:fill="EAF0E4"/>
        <w:spacing w:before="0" w:after="280"/>
        <w:ind w:left="173" w:right="173"/>
      </w:pPr>
      <w:r>
        <w:rPr>
          <w:b/>
        </w:rPr>
        <w:t>Use the same questions for every vendor. Record the evidence source, owner, decision, and any contract condition beside each answer.</w:t>
      </w:r>
    </w:p>
    <w:p>
      <w:pPr>
        <w:pStyle w:val="Heading1"/>
      </w:pPr>
      <w:r>
        <w:t>How to use this template</w:t>
      </w:r>
    </w:p>
    <w:p>
      <w:pPr>
        <w:pStyle w:val="ListBullet"/>
      </w:pPr>
      <w:r>
        <w:t>Define the target service journeys, audiences, content languages, and risk before evaluating a product.</w:t>
      </w:r>
    </w:p>
    <w:p>
      <w:pPr>
        <w:pStyle w:val="ListBullet"/>
      </w:pPr>
      <w:r>
        <w:t>Mark each question as mandatory, preferred, or informational.</w:t>
      </w:r>
    </w:p>
    <w:p>
      <w:pPr>
        <w:pStyle w:val="ListBullet"/>
      </w:pPr>
      <w:r>
        <w:t>Require evidence for architecture, security, quality, accessibility, pricing, and service claims.</w:t>
      </w:r>
    </w:p>
    <w:p>
      <w:pPr>
        <w:pStyle w:val="ListBullet"/>
      </w:pPr>
      <w:r>
        <w:t>Evaluate Plain Language and Easy Language separately.</w:t>
      </w:r>
    </w:p>
    <w:p>
      <w:pPr>
        <w:pStyle w:val="ListBullet"/>
      </w:pPr>
      <w:r>
        <w:t>Use representative public content before protected content enters scope.</w:t>
      </w:r>
    </w:p>
    <w:p>
      <w:pPr>
        <w:pStyle w:val="ListBullet"/>
      </w:pPr>
      <w:r>
        <w:t>Attach the final answers to the contract, security review, pilot plan, and acceptance record.</w:t>
      </w:r>
    </w:p>
    <w:p>
      <w:pPr>
        <w:pStyle w:val="Heading1"/>
      </w:pPr>
      <w:r>
        <w:t>Evaluation record</w:t>
      </w:r>
    </w:p>
    <w:p>
      <w:pPr>
        <w:spacing w:after="160"/>
        <w:pBdr>
          <w:bottom w:val="single" w:sz="6" w:space="4" w:color="D7DED5"/>
        </w:pBdr>
      </w:pPr>
      <w:r>
        <w:rPr>
          <w:b/>
        </w:rPr>
        <w:t>Organization:</w:t>
      </w:r>
    </w:p>
    <w:p>
      <w:pPr>
        <w:spacing w:after="160"/>
        <w:pBdr>
          <w:bottom w:val="single" w:sz="6" w:space="4" w:color="D7DED5"/>
        </w:pBdr>
      </w:pPr>
      <w:r>
        <w:rPr>
          <w:b/>
        </w:rPr>
        <w:t>Procurement owner:</w:t>
      </w:r>
    </w:p>
    <w:p>
      <w:pPr>
        <w:spacing w:after="160"/>
        <w:pBdr>
          <w:bottom w:val="single" w:sz="6" w:space="4" w:color="D7DED5"/>
        </w:pBdr>
      </w:pPr>
      <w:r>
        <w:rPr>
          <w:b/>
        </w:rPr>
        <w:t>Service or project:</w:t>
      </w:r>
    </w:p>
    <w:p>
      <w:pPr>
        <w:spacing w:after="160"/>
        <w:pBdr>
          <w:bottom w:val="single" w:sz="6" w:space="4" w:color="D7DED5"/>
        </w:pBdr>
      </w:pPr>
      <w:r>
        <w:rPr>
          <w:b/>
        </w:rPr>
        <w:t>Target decision date:</w:t>
      </w:r>
    </w:p>
    <w:p>
      <w:pPr>
        <w:spacing w:after="160"/>
        <w:pBdr>
          <w:bottom w:val="single" w:sz="6" w:space="4" w:color="D7DED5"/>
        </w:pBdr>
      </w:pPr>
      <w:r>
        <w:rPr>
          <w:b/>
        </w:rPr>
        <w:t>Vendors evaluated:</w:t>
      </w:r>
    </w:p>
    <w:p>
      <w:pPr>
        <w:spacing w:after="160"/>
        <w:pBdr>
          <w:bottom w:val="single" w:sz="6" w:space="4" w:color="D7DED5"/>
        </w:pBdr>
      </w:pPr>
      <w:r>
        <w:rPr>
          <w:b/>
        </w:rPr>
        <w:t>Required reviewers:</w:t>
      </w:r>
    </w:p>
    <w:p>
      <w:pPr>
        <w:sectPr>
          <w:headerReference w:type="default" r:id="rId9"/>
          <w:footerReference w:type="default" r:id="rId10"/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pStyle w:val="Heading1"/>
      </w:pPr>
      <w:r>
        <w:t>1. Use cases and audiences</w:t>
      </w:r>
    </w:p>
    <w:p>
      <w:r>
        <w:rPr>
          <w:i/>
          <w:color w:val="53655D"/>
        </w:rPr>
        <w:t>Requirement level:  Mandatory  |  Preferred  |  Informational</w:t>
      </w:r>
    </w:p>
    <w:p>
      <w:pPr>
        <w:pStyle w:val="ListNumber"/>
      </w:pPr>
      <w:r>
        <w:rPr>
          <w:b/>
        </w:rPr>
        <w:t>Which service journeys and content types are in scope?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Which audiences need Plain Language, Easy Language, or both?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How does the vendor prevent one generic simplification setting from replacing the two-mode decision?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Which consequences of misunderstanding require specialist or legal review?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How are target-audience needs and task completion evaluated?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sectPr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pStyle w:val="Heading1"/>
      </w:pPr>
      <w:r>
        <w:t>2. Language coverage and quality</w:t>
      </w:r>
    </w:p>
    <w:p>
      <w:r>
        <w:rPr>
          <w:i/>
          <w:color w:val="53655D"/>
        </w:rPr>
        <w:t>Requirement level:  Mandatory  |  Preferred  |  Informational</w:t>
      </w:r>
    </w:p>
    <w:p>
      <w:pPr>
        <w:pStyle w:val="ListNumber"/>
      </w:pPr>
      <w:r>
        <w:rPr>
          <w:b/>
        </w:rPr>
        <w:t>Which content locales are supported in both modes in production?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Does the source and output remain in the same selected language?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Which rules, datasets, evaluation methods, and limitations apply to each locale?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How are meaning, terminology, structure, and audience fit reviewed?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How are material model or prompt changes documented and communicated?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Which quality claims have externally reviewable evidence?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sectPr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pStyle w:val="Heading1"/>
      </w:pPr>
      <w:r>
        <w:t>3. Human review and governance</w:t>
      </w:r>
    </w:p>
    <w:p>
      <w:r>
        <w:rPr>
          <w:i/>
          <w:color w:val="53655D"/>
        </w:rPr>
        <w:t>Requirement level:  Mandatory  |  Preferred  |  Informational</w:t>
      </w:r>
    </w:p>
    <w:p>
      <w:pPr>
        <w:pStyle w:val="ListNumber"/>
      </w:pPr>
      <w:r>
        <w:rPr>
          <w:b/>
        </w:rPr>
        <w:t>Which reviewer roles, approval steps, and publication permissions are supported?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How are comments, requested changes, approvals, and reviewer identity recorded?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How does the workflow identify an approved language version that has become outdated?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Can departments or projects use different review and retention policies?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How can an organization export the source, draft, approval, and audit record?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sectPr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pStyle w:val="Heading1"/>
      </w:pPr>
      <w:r>
        <w:t>4. CMS, API, and delivery</w:t>
      </w:r>
    </w:p>
    <w:p>
      <w:r>
        <w:rPr>
          <w:i/>
          <w:color w:val="53655D"/>
        </w:rPr>
        <w:t>Requirement level:  Mandatory  |  Preferred  |  Informational</w:t>
      </w:r>
    </w:p>
    <w:p>
      <w:pPr>
        <w:pStyle w:val="ListNumber"/>
      </w:pPr>
      <w:r>
        <w:rPr>
          <w:b/>
        </w:rPr>
        <w:t>Which WordPress, TYPO3, Drupal, JavaScript, and custom API paths are supported?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What are the exact request fields for source text, locale, and mode?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Which synchronous, streaming, asynchronous job, webhook, and export patterns are available?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How are authentication, key scope, rotation, revocation, rate limits, and idempotency handled?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How are API errors, retries, request identifiers, and partial failures documented?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How is a reviewed version delivered without changing the original source content?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sectPr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pStyle w:val="Heading1"/>
      </w:pPr>
      <w:r>
        <w:t>5. Hosting, data flow, and model operation</w:t>
      </w:r>
    </w:p>
    <w:p>
      <w:r>
        <w:rPr>
          <w:i/>
          <w:color w:val="53655D"/>
        </w:rPr>
        <w:t>Requirement level:  Mandatory  |  Preferred  |  Informational</w:t>
      </w:r>
    </w:p>
    <w:p>
      <w:pPr>
        <w:pStyle w:val="ListNumber"/>
      </w:pPr>
      <w:r>
        <w:rPr>
          <w:b/>
        </w:rPr>
        <w:t>Where are service, model, cache, database, log, backup, and support operations located?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Is customer content sent to a third-party model API or another model operator?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Which organizations can process account, request, result, cache, log, or usage data?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Is customer content used for training, fine-tuning, evaluation, abuse prevention, or service improvement?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Which data categories are retained, for how long, and for what purpose?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How are cache isolation, invalidation, export, deletion, and model-version changes handled?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sectPr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pStyle w:val="Heading1"/>
      </w:pPr>
      <w:r>
        <w:t>6. Security, privacy, and access</w:t>
      </w:r>
    </w:p>
    <w:p>
      <w:r>
        <w:rPr>
          <w:i/>
          <w:color w:val="53655D"/>
        </w:rPr>
        <w:t>Requirement level:  Mandatory  |  Preferred  |  Informational</w:t>
      </w:r>
    </w:p>
    <w:p>
      <w:pPr>
        <w:pStyle w:val="ListNumber"/>
      </w:pPr>
      <w:r>
        <w:rPr>
          <w:b/>
        </w:rPr>
        <w:t>Which transport and at-rest encryption controls are implemented?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How are internal roles, least privilege, production access, and support access controlled?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Which security events are logged and how long are those records retained?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Which AVV/DPA, technical and organizational measures, and subprocessor documents are available?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How are vulnerabilities, penetration testing, business continuity, and disaster recovery handled?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How does the vendor notify customers about security or availability incidents?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sectPr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pStyle w:val="Heading1"/>
      </w:pPr>
      <w:r>
        <w:t>7. Availability and service operations</w:t>
      </w:r>
    </w:p>
    <w:p>
      <w:r>
        <w:rPr>
          <w:i/>
          <w:color w:val="53655D"/>
        </w:rPr>
        <w:t>Requirement level:  Mandatory  |  Preferred  |  Informational</w:t>
      </w:r>
    </w:p>
    <w:p>
      <w:pPr>
        <w:pStyle w:val="ListNumber"/>
      </w:pPr>
      <w:r>
        <w:rPr>
          <w:b/>
        </w:rPr>
        <w:t>Which components have a public status and historical availability record?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How is monthly availability measured, which events are excluded, and which remedy applies?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What are the support hours, response targets, escalation path, and incident communication process?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Which monitoring, usage, operational reporting, and budget-control features are available?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How are planned maintenance, deprecations, and breaking changes communicated?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sectPr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pStyle w:val="Heading1"/>
      </w:pPr>
      <w:r>
        <w:t>8. Accessibility and responsible use</w:t>
      </w:r>
    </w:p>
    <w:p>
      <w:r>
        <w:rPr>
          <w:i/>
          <w:color w:val="53655D"/>
        </w:rPr>
        <w:t>Requirement level:  Mandatory  |  Preferred  |  Informational</w:t>
      </w:r>
    </w:p>
    <w:p>
      <w:pPr>
        <w:pStyle w:val="ListNumber"/>
      </w:pPr>
      <w:r>
        <w:rPr>
          <w:b/>
        </w:rPr>
        <w:t>Does the product interface and website widget meet WCAG 2.2 AA requirements?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Can keyboard, focus, zoom, reflow, reduced motion, errors, and recovery be independently tested?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How does the vendor distinguish technical accessibility from understandable-language output?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Which customer responsibilities remain for source accuracy, legal review, audience suitability, and publication?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How are higher-risk uses identified and assigned stronger review?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sectPr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pStyle w:val="Heading1"/>
      </w:pPr>
      <w:r>
        <w:t>9. Pricing and commercial terms</w:t>
      </w:r>
    </w:p>
    <w:p>
      <w:r>
        <w:rPr>
          <w:i/>
          <w:color w:val="53655D"/>
        </w:rPr>
        <w:t>Requirement level:  Mandatory  |  Preferred  |  Informational</w:t>
      </w:r>
    </w:p>
    <w:p>
      <w:pPr>
        <w:pStyle w:val="ListNumber"/>
      </w:pPr>
      <w:r>
        <w:rPr>
          <w:b/>
        </w:rPr>
        <w:t>What unit is billed: new input characters, output characters, requests, seats, or another measure?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How do cache hits, retries, failed requests, and overage affect usage?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Which languages, modes, environments, projects, integrations, support, and SLA are included in each plan?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Can alerts and hard spending limits prevent unplanned overage?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What are the pilot price, scope, deliverables, credit terms, and acceptance conditions?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Which nonprofit, public-sector, annual, and enterprise terms are available?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sectPr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pStyle w:val="Heading1"/>
      </w:pPr>
      <w:r>
        <w:t>10. Pilot and release acceptance</w:t>
      </w:r>
    </w:p>
    <w:p>
      <w:r>
        <w:rPr>
          <w:i/>
          <w:color w:val="53655D"/>
        </w:rPr>
        <w:t>Requirement level:  Mandatory  |  Preferred  |  Informational</w:t>
      </w:r>
    </w:p>
    <w:p>
      <w:pPr>
        <w:pStyle w:val="ListNumber"/>
      </w:pPr>
      <w:r>
        <w:rPr>
          <w:b/>
        </w:rPr>
        <w:t>Which representative pages, content units, locales, and modes are included in the pilot?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Which quality, reviewer-effort, integration, security, accessibility, and operational outcomes are measured?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Who approves each domain and where is the evidence attached?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Which default, loading, empty, success, error, and recovery states must pass?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Which browser, viewport, keyboard, zoom, and assistive-technology checks are required?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pStyle w:val="ListNumber"/>
      </w:pPr>
      <w:r>
        <w:rPr>
          <w:b/>
        </w:rPr>
        <w:t>What prevents release when a claim, marker, placeholder, dead link, or fictional behavior remains?</w:t>
      </w:r>
    </w:p>
    <w:p>
      <w:pPr>
        <w:spacing w:before="40" w:after="200"/>
        <w:ind w:left="540"/>
        <w:shd w:fill="F4F7EF"/>
      </w:pPr>
      <w:r>
        <w:t>Vendor response:</w:t>
        <w:br/>
        <w:br/>
      </w:r>
    </w:p>
    <w:p>
      <w:pPr>
        <w:sectPr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pStyle w:val="Heading1"/>
      </w:pPr>
      <w:r>
        <w:t>Decision and approval</w:t>
      </w:r>
    </w:p>
    <w:p>
      <w:pPr>
        <w:spacing w:after="240"/>
        <w:pBdr>
          <w:bottom w:val="single" w:sz="6" w:space="4" w:color="D7DED5"/>
        </w:pBdr>
      </w:pPr>
      <w:r>
        <w:rPr>
          <w:b/>
        </w:rPr>
        <w:t>Recommended vendor and plan:</w:t>
      </w:r>
    </w:p>
    <w:p>
      <w:pPr>
        <w:spacing w:after="240"/>
        <w:pBdr>
          <w:bottom w:val="single" w:sz="6" w:space="4" w:color="D7DED5"/>
        </w:pBdr>
      </w:pPr>
      <w:r>
        <w:rPr>
          <w:b/>
        </w:rPr>
        <w:t>Required contract conditions:</w:t>
      </w:r>
    </w:p>
    <w:p>
      <w:pPr>
        <w:spacing w:after="240"/>
        <w:pBdr>
          <w:bottom w:val="single" w:sz="6" w:space="4" w:color="D7DED5"/>
        </w:pBdr>
      </w:pPr>
      <w:r>
        <w:rPr>
          <w:b/>
        </w:rPr>
        <w:t>Required technical conditions:</w:t>
      </w:r>
    </w:p>
    <w:p>
      <w:pPr>
        <w:spacing w:after="240"/>
        <w:pBdr>
          <w:bottom w:val="single" w:sz="6" w:space="4" w:color="D7DED5"/>
        </w:pBdr>
      </w:pPr>
      <w:r>
        <w:rPr>
          <w:b/>
        </w:rPr>
        <w:t>Required security and privacy conditions:</w:t>
      </w:r>
    </w:p>
    <w:p>
      <w:pPr>
        <w:spacing w:after="240"/>
        <w:pBdr>
          <w:bottom w:val="single" w:sz="6" w:space="4" w:color="D7DED5"/>
        </w:pBdr>
      </w:pPr>
      <w:r>
        <w:rPr>
          <w:b/>
        </w:rPr>
        <w:t>Required accessibility conditions:</w:t>
      </w:r>
    </w:p>
    <w:p>
      <w:pPr>
        <w:spacing w:after="240"/>
        <w:pBdr>
          <w:bottom w:val="single" w:sz="6" w:space="4" w:color="D7DED5"/>
        </w:pBdr>
      </w:pPr>
      <w:r>
        <w:rPr>
          <w:b/>
        </w:rPr>
        <w:t>Pilot acceptance decision:</w:t>
      </w:r>
    </w:p>
    <w:p>
      <w:pPr>
        <w:spacing w:after="240"/>
        <w:pBdr>
          <w:bottom w:val="single" w:sz="6" w:space="4" w:color="D7DED5"/>
        </w:pBdr>
      </w:pPr>
      <w:r>
        <w:rPr>
          <w:b/>
        </w:rPr>
        <w:t>Product approval:</w:t>
      </w:r>
    </w:p>
    <w:p>
      <w:pPr>
        <w:spacing w:after="240"/>
        <w:pBdr>
          <w:bottom w:val="single" w:sz="6" w:space="4" w:color="D7DED5"/>
        </w:pBdr>
      </w:pPr>
      <w:r>
        <w:rPr>
          <w:b/>
        </w:rPr>
        <w:t>Engineering approval:</w:t>
      </w:r>
    </w:p>
    <w:p>
      <w:pPr>
        <w:spacing w:after="240"/>
        <w:pBdr>
          <w:bottom w:val="single" w:sz="6" w:space="4" w:color="D7DED5"/>
        </w:pBdr>
      </w:pPr>
      <w:r>
        <w:rPr>
          <w:b/>
        </w:rPr>
        <w:t>Security and privacy approval:</w:t>
      </w:r>
    </w:p>
    <w:p>
      <w:pPr>
        <w:spacing w:after="240"/>
        <w:pBdr>
          <w:bottom w:val="single" w:sz="6" w:space="4" w:color="D7DED5"/>
        </w:pBdr>
      </w:pPr>
      <w:r>
        <w:rPr>
          <w:b/>
        </w:rPr>
        <w:t>Accessibility approval:</w:t>
      </w:r>
    </w:p>
    <w:p>
      <w:pPr>
        <w:spacing w:after="240"/>
        <w:pBdr>
          <w:bottom w:val="single" w:sz="6" w:space="4" w:color="D7DED5"/>
        </w:pBdr>
      </w:pPr>
      <w:r>
        <w:rPr>
          <w:b/>
        </w:rPr>
        <w:t>Procurement and legal approval:</w:t>
      </w:r>
    </w:p>
    <w:p>
      <w:pPr>
        <w:spacing w:after="240"/>
        <w:pBdr>
          <w:bottom w:val="single" w:sz="6" w:space="4" w:color="D7DED5"/>
        </w:pBdr>
      </w:pPr>
      <w:r>
        <w:rPr>
          <w:b/>
        </w:rPr>
        <w:t>Final release decision:</w:t>
      </w:r>
    </w:p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left"/>
    </w:pPr>
    <w:r>
      <w:rPr>
        <w:rFonts w:ascii="Calibri" w:hAnsi="Calibri"/>
        <w:color w:val="6A786F"/>
        <w:sz w:val="16"/>
      </w:rPr>
      <w:t>Simple8 GmbH | Editable vendor-evaluation template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libri" w:hAnsi="Calibri"/>
        <w:b/>
        <w:color w:val="6A786F"/>
        <w:sz w:val="16"/>
      </w:rPr>
      <w:t>SIMPLE8 PROCUREMENT REQUIREMENTS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0B171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0332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0332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315347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color w:val="0B1713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color w:val="0B1713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Language-accessibility vendor requirements</dc:title>
  <dc:subject>Editable procurement template</dc:subject>
  <dc:creator>Simple8 GmbH</dc:creator>
  <cp:keywords>Plain Language, Easy Language, procurement, security, accessibility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